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2016/398 vom 25. Juni 2019</w:t>
      </w:r>
    </w:p>
    <w:p>
      <w:r>
        <w:t>Sg Versicherungsgericht, 2019-06-25, DE</w:t>
      </w:r>
    </w:p>
    <w:p>
      <w:r>
        <w:rPr>
          <w:b/>
        </w:rPr>
        <w:t xml:space="preserve">Quelle: </w:t>
      </w:r>
      <w:r>
        <w:t>https://mcp.opencaselaw.ch/entscheid/sg_publikationen_IV 2016_398</w:t>
      </w:r>
    </w:p>
    <w:p>
      <w:r>
        <w:t>FR: SG_VERSICHERUNGSGERICHT IV 2016/398 du 25 juin 2019</w:t>
      </w:r>
    </w:p>
    <w:p>
      <w:r>
        <w:t>IT: SG_VERSICHERUNGSGERICHT IV 2016/398 del 25 giugno 2019</w:t>
      </w:r>
    </w:p>
    <w:p>
      <w:pPr>
        <w:pStyle w:val="Heading2"/>
      </w:pPr>
      <w:r>
        <w:t>Regeste</w:t>
      </w:r>
    </w:p>
    <w:p>
      <w:r>
        <w:t>Art, 7 ATSG, Art. 8 ATSG, Art. 28 IVG: Beschwerdegegnerin hat psychiatrisches Gutachten in unzulässiger Weise eigenständig interpretiert. Orthopädisches Gutachten überzeugt nicht. Rückweisung zur Weiterführung des Verwaltungsverfahrens bzw. zur Vornahme weiterer Abklärungen (Entscheid des Versicherungsgerichts des Kantons St. Gallen vom 25. Juni 2019, IV 2016/398). Aufgehoben durch Urteil des Bundesgerichts 9C_463/2019.</w:t>
      </w:r>
    </w:p>
    <w:p>
      <w:pPr>
        <w:pStyle w:val="Heading2"/>
      </w:pPr>
      <w:r>
        <w:t>Erwägungen</w:t>
      </w:r>
    </w:p>
    <w:p>
      <w:r>
        <w:rPr>
          <w:b/>
        </w:rPr>
        <w:t>E. 1</w:t>
      </w:r>
    </w:p>
    <w:p>
      <w:r>
        <w:t>Vorliegend strittig und zu prüfen ist der Anspruch des Beschwerdeführers auf eine Invalidenrente.</w:t>
      </w:r>
    </w:p>
    <w:p>
      <w:r>
        <w:rPr>
          <w:b/>
        </w:rPr>
        <w:t>E. 2.1</w:t>
      </w:r>
    </w:p>
    <w:p>
      <w:r>
        <w:t>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Gestützt auf Art. 54 des Gerichtsgesetzes des Kantons St. Gallen (GerG, sGS 941.1) entspricht es der Praxis des Versicherungsgerichts des Kantons St. Gallen, dass Versicherte, die während eines Jahres ohne wesentlichen Unterbruch durchschnittlich mindestens zu 40 % arbeitsunfähig gewesen sind und die nach Ablauf dieses Jahres weiterhin zu mindestens 40 % arbeitsunfähig sind, grundsätzlich Anspruch auf eine Rente haben, obwohl zumutbare Eingliederungsmassnahmen, welche ihre Arbeitsfähigkeit oder die Fähigkeit, sich im Aufgabenbereich zu betätigen, wiederherstellen, erhalten oder verbessern können, nicht abgeschlossen sind.</w:t>
      </w:r>
    </w:p>
    <w:p>
      <w:r>
        <w:rPr>
          <w:b/>
        </w:rPr>
        <w:t>E. 2.2</w:t>
      </w:r>
    </w:p>
    <w:p>
      <w:r>
        <w:t>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BGE 115 V 134 E. 2). Im Weiteren sind die ärztlichen Aussagen eine wichtige Grundlage für die Beurteilung der Frage, welche Arbeitsleistungen einer Person noch zugemutet werden können (BGE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Hinweisen).</w:t>
      </w:r>
    </w:p>
    <w:p>
      <w:r>
        <w:rPr>
          <w:b/>
        </w:rPr>
        <w:t>E. 3</w:t>
      </w:r>
    </w:p>
    <w:p>
      <w:r>
        <w:t>Die Beschwerdegegnerin stützt sich für die Ablehnung des Rentenanspruchs vorwiegend auf das von ihr in Auftrag gegebene orthopädische, internistische und psychiatrische MEDAS-Gutachten (vgl. act. G 1.1.2 und 4).</w:t>
      </w:r>
    </w:p>
    <w:p>
      <w:r>
        <w:rPr>
          <w:b/>
        </w:rPr>
        <w:t>E. 3.1</w:t>
      </w:r>
    </w:p>
    <w:p>
      <w:r>
        <w:t>Das orthopädische Teilgutachten ist zumindest aus Sicht eines medizinischen Laien nicht vollumfänglich schlüssig. Einerseits weichen die von Dr. P.___ gestützt auf das von ihm in Auftrag gegebene MRT der Lendenwirbelsäule vom __ Februar 2016 erhobenen Diagnosen teilweise von früheren MRT-Befunden ab. Dr. P.___ erwähnt eine Diskushernie L4/5 ohne neurale Kompression (vgl. IV-act. 125 S. 8). Demgegenüber hat sowohl das MRT vom 23. August 2012 (vgl. IV-act. 32 S. 7) als auch dasjenige vom 20. Februar 2014 (vgl. IV-act. 32 S. 2) eine Diskushernie L4/5 mit Dorsalverlagerung der Nervenwurzel L5 rechts gezeigt. Im MRT vom 23. August 2012 ist auch eine Kompression dieser Nervenwurzel sichtbar gewesen (vgl. IV-act. 32 S. 7). Zudem ist im MRT vom 20. Februar 2014 ein Kontakt der Diskushernie L4/5 zur Nervenwurzel L5 links mit möglicher Irritation dieser Nervenwurzel festgestellt worden (vgl. IV-act. 32 S. 2). Schliesslich haben die behandelnden Ärzte der Klinik X.___ des KSSG auf einem MRT vom __ Februar 2016 einen Bandscheibenprolabs LW4/5 medio-bi-lateral rechts etwas mehr als links festgestellt und am 14. Juni 2016 dem Versicherten aufgrund beidseitiger Schmerzen eine Nervenwurzelinfiltration L5 beidseits empfohlen (vgl. IV-act. 153). Insofern ist zumindest für einen medizinischen Laien nicht nachvollziehbar, wie Dr. P.___ darauf kommt, dass die Diskushernie L4/5 keine neurale Kompression aufweise. Fraglich ist demnach auch die von Dr. P.___ erwähnte Diagnose der Pseudolumboischialgie rechts und seine Beurteilung, dass die in das rechte obere Sprunggelenk ausstrahlenden Schmerzen nicht erklärt werden könnten, nachdem radiologisch die Nervenwurzel L4 links betroffen sei (vgl. IV-act. 125 S. 20). Aus den oben erwähnten MRT-Befunden geht nämlich hervor, dass auch die rechte Nervenwurzel L5 betroffen ist. Neben den Unklarheiten in den lumbalen Diagnosen erscheinen die von Dr. P.___ erwähnten Diagnosen aber auch nicht vollständig zu sein. Die im vertebrospinalen lumbalen MRT vom 20. Februar 2014 sichtbaren Chondrosen bzw. Osteochondrosen TH11/TH12 und TH12/L1 sind bei den im Gutachten gestellten Diagnosen unerwähnt geblieben (vgl. IV-act. 32 S. 2 i.V.m. 125 S. 8). In den gutachterlichen Diagnosen unerwähnt geblieben ist auch die fortschreitende Femurkopfnekrose rechts, aufgrund welcher sogar schon über eine Hüfttotalprothese rechts nachgedacht worden ist (vgl. IV-act. 32 S. 3 ff. i.V.m. 125 S. 8). Auffallend ist schliesslich, dass Dr. P.___ zwar eine EFL in Auftrag gegeben und bei der Umschreibung des Leistungsprofils zu weiten Teilen auf deren Ergebnisse abgestellt hat, die in der EFL enthaltene Schätzung bezüglich der maximal zulässigen Arbeitszeit von täglich sechs Stunden jedoch unbeachtet gelassen hat (vgl. IV-act. 125 S. 12 i.V.m. S. 21). Nicht schlüssig ist auch, dass Dr. P.___ in seiner Beurteilung der Beschwerden und Befunde davon gesprochen hat, dass die EFL die Notwendigkeit vermehrter Pausen ergeben habe, diesen Pausenbedarf bei der Schätzung der Arbeitsfähigkeiten jedoch unberücksichtigt gelassen hat (vgl. IV-act. 125 S. 20 f.). Dr. P.___ scheint die Ergebnisse der EFL somit nicht als vollumfänglich plausibel erachtet zu haben. Allerdings hat er keine Erklärung dafür geliefert, weshalb er die Ergebnisse der EFL nicht vollständig übernommen hat. Wenn die EFL nicht die gewünschte Qualität aufgewiesen hat, wäre Dr. P.___ gehalten gewesen, eine neue EFL oder eine Ergänzung der bereits durchgeführten EFL in Auftrag zu geben. Sollte die dem Gutachten zu Grunde liegende EFL nicht die gewünschte Qualität aufweisen, würde dies auch die Qualität des orthopädischen Gutachtens, welches zu einem grossen Teil auf der EFL zu fussen scheint, in Frage stellen. Zusammenfassend ist festzuhalten, dass das orthopädische Gutachten aus Sicht eines medizinischen Laien als teilweise unvollständig und insgesamt als nicht ausreichend schlüssig erscheint, sodass die entsprechende Arbeitsfähigkeitsschätzung nicht als überwiegend wahrscheinlich betrachtet werden kann, weshalb die Einholung eines neuen orthopädischen Gutachtens angezeigt ist.</w:t>
      </w:r>
    </w:p>
    <w:p>
      <w:r>
        <w:rPr>
          <w:b/>
        </w:rPr>
        <w:t>E. 3.2.1</w:t>
      </w:r>
    </w:p>
    <w:p>
      <w:r>
        <w:t>Im psychiatrischen Teilgutachten hat Dr. R.___ festgehalten, dass die Prognose beim Beschwerdeführer nur begrenzt günstig sei. Der Beschwerdeführer bedürfe der Fortsetzung der regelmässigen psychiatrischen und psychotherapeutischen Behandlung kombiniert mit einer antidepressiven Medikation. Diese könne noch mit einer schlafverbessernden, antidepressiven Medikation (abends z.B. Trittico) intensiviert werden, worunter eine Besserung der Schlafstörungen und der depressiven Verstimmung innerhalb eines Jahres zu erwarten wäre. Damit einhergehend sei mit einer Leistungssteigerung auf eine etwa 70%ige Arbeitsfähigkeit in der zuletzt ausgeübten und auf eine etwa 80%ige Arbeitsfähigkeit in einer angepassten Tätigkeit zu rechnen (vgl. IV-act. 125 S. 43). Gestützt auf diese gutachterlichen Ausführungen ist die Beschwerdegegnerin zum Schluss gekommen, dass die bisherige Medikation noch nicht optimal gewesen sei, sodass diesbezüglich ein Verbesserungspotential bestehe, weshalb sie das depressive Leiden als nicht therapieresistent eingestuft und einen Rentenanspruch abgelehnt hat (vgl. act. G 1.1.2 S. 3). Die von der Beschwerdegegnerin angeführte Rechtsprechung hinsichtlich der invalidenversicherungsrechtlichen Bedeutung von leichten bis mittelschweren depressiven Erkrankungen ist jedoch vom Bundesgericht in BGE 143 V 409 aufgegeben worden. Das Bundesgericht hat in diesem Urteil darauf hingewiesen, dass die Frage, ob bei Erkrankungen aus dem depressiven Formenkreis eine invalidenversicherungsrechtliche Einschränkung der Arbeitsfähigkeit resultiere, ebenso wenig wie bei somatoformen Störungen allein mit Bezug auf das Kriterium der Behandelbarkeit beantwortet werden könne (vgl. BGE 143 V 414 E. 4.4). Vielmehr sei auch bei leichten bis mittelschweren depressiven Störungen, wie bei jeder geltend gemachten gesundheitsbedingten Erwerbsunfähigkeit im Einzelfall danach zu fragen, ob und wie sich die Krankheit invaliditätsbedingt auswirke. Auch Leiden aus dem depressiven Formenkreis seien grundsätzlich einem strukturierten Beweisverfahren nach BGE 141 V 281 zu unterziehen (vgl. BGE 143 V 416 E. 4.5.2). Entgegen der Auffassung der Beschwerdegegnerin (vgl. act. G 1.1.2) schliesst ein vorhandenes Verbesserungspotential in der medizinischen Behandlung somit nicht aus, dass nach Ablauf des Wartejahrs ein Rentenanspruch entstehen kann (vgl. dazu auch Urteil des Bundesgerichts vom 2. September 2014, 9C_395/2014, E. 4.5; vgl. ferner E. 2.1). Die Beschwerdegegnerin hat einen Einfluss der von Dr. R.___ diagnostizierten depressiven Störung auf die Arbeitsfähigkeit somit in einer unzulässigen Weise verneint.</w:t>
      </w:r>
    </w:p>
    <w:p>
      <w:r>
        <w:rPr>
          <w:b/>
        </w:rPr>
        <w:t>E. 3.2.2</w:t>
      </w:r>
    </w:p>
    <w:p>
      <w:r>
        <w:t>Weiter hat die Beschwerdegegnerin die von Dr. R.___ gestellte Diagnose der Persönlichkeitsstörung als nicht überzeugend eingestuft und dann sogar deren Vorliegen verneint (vgl. act. G 1.1.2 und 4). Zwar kann das Gericht die von der Beschwerdegegnerin (aus medizinisch-laienhafter Sicht) geäusserten Zweifel am Vorliegen der Diagnose der Persönlichkeitsstörung nachvollziehen, weshalb das Vorliegen dieser Diagnose gestützt auf die vorhandenen medizinischen Unterlagen als nicht mit überwiegender Wahrscheinlichkeit erstellt zu betrachten ist. Umgekehrt kann aus den von der Beschwerdegegnerin geäusserten Zweifel nicht automatisch geschlossen werden, die Diagnose der Persönlichkeitsstörung liege nicht vor. Vielmehr ist die Frage, ob eine Persönlichkeitsstörung vorliegt und welche funktionelle Auswirkungen eine solche mit sich bringt, durch eine neue psychiatrische Begutachtung abzuklären. Die Beurteilung des Gesundheitszustandes obliegt nämlich den medizinischen Fachpersonen und nicht dem rechtsanwendenden Sozialversicherungsträger (vgl. BGE 125 V 261 E. 4). Die Beschwerdegegnerin hat dadurch, dass sie ein medizinisches Gutachten in Auftrag gegeben hat, zum Ausdruck gebracht, dass sie auf den Sachverstand medizinischer Fachleute angewiesen ist. Da die Beschwerdegegnerin Zweifel an den im Gutachten gestellten Diagnosen und der Arbeitsfähigkeitsschätzung gehegt hat, wäre sie im Rahmen der sie treffenden Untersuchungspflicht gehalten gewesen, weitere Abklärungen vorzunehmen. Indem sie dies unterlassen hat und stattdessen die Diagnose der Persönlichkeitsstörung gestützt auf eine eigene Interpretation in einer unzulässigen Weise verneint hat, hat sie die angefochtene Verfügung in Verletzung des Untersuchungsgrundsatzes (Art. 43 Abs. 1 ATSG) erlassen. Daher ist die angefochtene Verfügung aufzuheben und die Sache zur Einholung eines neuen psychiatrischen Gutachtens und zur neuen Verfügung zurückzuweisen. Die neue Begutachtung wird sich natürlich nicht auf die Beurteilung, ob eine Persönlichkeitsstörung vorliegt, beschränken können, sondern den psychischen Gesundheitszustand des Beschwerdeführers als Ganzes beurteilen müssen. Anzumerken ist, dass eine erneute Beauftragung von Dr. R.___ die Gefahr beinhalten würde, dass dieser seine Einschätzung im bisherigen Gutachten bestätigen würde. Aus diesem Grund bzw. um nicht den Anschein der Befangenheit zu erwecken, ist das psychiatrische Gutachten bei einem anderen Sachverständigen in Auftrag zu geben. Im neu aufzunehmenden Verwaltungsverfahren wird die Beschwerdegegnerin überdies die neue bundesgerichtliche Rechtsprechung hinsichtlich der depressiven Leiden zu beachten haben (vgl. E. 3.2.1).</w:t>
      </w:r>
    </w:p>
    <w:p>
      <w:r>
        <w:rPr>
          <w:b/>
        </w:rPr>
        <w:t>E. 3.3</w:t>
      </w:r>
    </w:p>
    <w:p>
      <w:r>
        <w:t>Zusammenfassend ist festzuhalten, dass die angefochtene Verfügung als rechtswidrig aufzuheben und an die Beschwerdegegnerin zur Weiterführung des Verwaltungsverfahrens bzw. zur weiteren Abklärung im Sinne der Erwägungen zurückzuweisen ist.</w:t>
      </w:r>
    </w:p>
    <w:p>
      <w:r>
        <w:rPr>
          <w:b/>
        </w:rPr>
        <w:t>E. 4.1</w:t>
      </w:r>
    </w:p>
    <w:p>
      <w:r>
        <w:t>In teilweiser Gutheissung der Beschwerde ist die angefochtene Verfügung vom 17. Oktober 2016 aufzuheben und die Sache zur Weiterführung des Verwaltungsverfahrens, zur Vornahme weiterer Abklärungen und zur anschliessenden neuen Verfügung im Sinne der Erwägungen an die Beschwerdegegnerin zurückzuweisen.</w:t>
      </w:r>
    </w:p>
    <w:p>
      <w:r>
        <w:rPr>
          <w:b/>
        </w:rPr>
        <w:t>E. 4.2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an die Verwaltung zur Weiterführung des Verwaltungsverfahrens als volles Obsiegen des Beschwerdeführers zu werten (vgl. BGE 132 V 215 E. 6.2). Dementsprechend ist die Gerichtsgebühr von Fr. 600.-- vollumfänglich der Beschwerdegegnerin aufzuerlegen. Der geleistete Kostenvorschuss von Fr. 600.-- ist dem Beschwerdeführer zurückzuerstatten.</w:t>
      </w:r>
    </w:p>
    <w:p>
      <w:r>
        <w:rPr>
          <w:b/>
        </w:rPr>
        <w:t>E. 4.3</w:t>
      </w:r>
    </w:p>
    <w:p>
      <w:r>
        <w:t>Gemäss Art. 61 lit. g ATSG hat die obsiegende beschwerdeführende Person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Im hier zu beurteilenden, durchschnittlich aufwändigen Fall erscheint eine pauschale Parteientschädigung von Fr. 3'500.-- als angemessen. Die Beschwerdegegnerin hat den Beschwerdeführer deshalb mit Fr. 3'500.-- (inklusive Barauslagen und Mehrwertsteuer) zu entschädigen. Das Honorar von Dr. N.___ für die Erstellung des ärztlichen Berichts vom 22. Januar 2018 (vgl. act. G 11.1) ist nicht zu entschädigen, da dieser Bericht die gesundheitliche Situation des Beschwerdeführers nach einem Fahrradsturz, welcher sich nach Erlass der angefochtenen Verfügung ereignet hat, beleuchtet und somit für das vorliegende Beschwerdeverfahren offensichtlich keine neuen entscheidwesentlichen Erkenntnisse bringt. Entscheid 1. In teilweiser Gutheissung der Beschwerde wird die angefochtene Verfügung vom 17. Oktober 2016 aufgehoben und die Sache zur Weiterführung des Verwaltungsverfahrens im Sinne der Erwägungen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